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125394" w:rsidRPr="00F27B5C">
              <w:rPr>
                <w:rFonts w:asciiTheme="majorEastAsia" w:eastAsiaTheme="majorEastAsia" w:hAnsiTheme="majorEastAsia"/>
                <w:noProof/>
                <w:sz w:val="32"/>
                <w:szCs w:val="32"/>
              </w:rPr>
              <w:t>5</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125394" w:rsidRPr="00F27B5C">
        <w:rPr>
          <w:rFonts w:hAnsi="ＭＳ 明朝"/>
          <w:noProof/>
          <w:szCs w:val="21"/>
          <w:u w:val="single"/>
        </w:rPr>
        <w:t>市営流留住宅解体工事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25394" w:rsidRPr="00F27B5C">
        <w:rPr>
          <w:rFonts w:hAnsi="ＭＳ 明朝"/>
          <w:noProof/>
          <w:szCs w:val="21"/>
        </w:rPr>
        <w:t>市営流留住宅解体工事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25394" w:rsidRPr="00F27B5C">
        <w:rPr>
          <w:rFonts w:hAnsi="ＭＳ 明朝"/>
          <w:noProof/>
          <w:szCs w:val="21"/>
        </w:rPr>
        <w:t>市営流留住宅解体工事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125394" w:rsidRPr="00F27B5C">
        <w:rPr>
          <w:b/>
          <w:noProof/>
        </w:rPr>
        <w:t>解体</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125394" w:rsidRPr="00F27B5C">
        <w:rPr>
          <w:rFonts w:hAnsi="ＭＳ 明朝"/>
          <w:noProof/>
          <w:szCs w:val="21"/>
          <w:u w:val="single"/>
        </w:rPr>
        <w:t>市営流留住宅解体工事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5394"/>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1BD8"/>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A5FE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07E"/>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EF3F55"/>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6518F"/>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66B7-674D-4822-83EE-D1854550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1460</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101</cp:revision>
  <cp:lastPrinted>2025-01-21T00:33:00Z</cp:lastPrinted>
  <dcterms:created xsi:type="dcterms:W3CDTF">2022-01-17T23:49:00Z</dcterms:created>
  <dcterms:modified xsi:type="dcterms:W3CDTF">2025-08-27T01:47:00Z</dcterms:modified>
  <cp:category/>
</cp:coreProperties>
</file>