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6C5319" w:rsidRPr="006C5319">
        <w:rPr>
          <w:rFonts w:hAnsi="ＭＳ 明朝" w:hint="eastAsia"/>
          <w:szCs w:val="21"/>
          <w:u w:val="single"/>
        </w:rPr>
        <w:t>雄勝地区大須番屋新築工事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6C5319" w:rsidRPr="006C5319">
        <w:rPr>
          <w:rFonts w:hAnsi="ＭＳ 明朝" w:hint="eastAsia"/>
          <w:szCs w:val="21"/>
        </w:rPr>
        <w:t>雄勝地区大須番屋新築工事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6C5319" w:rsidRPr="006C5319">
        <w:rPr>
          <w:rFonts w:hAnsi="ＭＳ 明朝" w:hint="eastAsia"/>
          <w:szCs w:val="21"/>
          <w:u w:val="single"/>
        </w:rPr>
        <w:t>雄勝地区大須番屋新築工事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BD1B-B77E-48B4-8371-DD0E0A05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993</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2019-05-21T14:19:00Z</dcterms:created>
  <dcterms:modified xsi:type="dcterms:W3CDTF">2019-05-21T14:19:00Z</dcterms:modified>
</cp:coreProperties>
</file>