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702E89" w:rsidRPr="00702E89">
        <w:rPr>
          <w:rFonts w:hAnsi="ＭＳ 明朝" w:hint="eastAsia"/>
        </w:rPr>
        <w:t>魚町水産加工共同排水処理施設更新（その２）工事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702E89" w:rsidRPr="00702E89">
        <w:rPr>
          <w:rFonts w:hAnsi="ＭＳ 明朝" w:hint="eastAsia"/>
        </w:rPr>
        <w:t>魚町水産加工共同排水処理施設更新（その２）工事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2D2D"/>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00D9"/>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2E89"/>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75C88"/>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9C54-85E1-42E4-B251-66142FD3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91</TotalTime>
  <Pages>2</Pages>
  <Words>790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51</cp:revision>
  <cp:lastPrinted>2020-04-02T11:30:00Z</cp:lastPrinted>
  <dcterms:created xsi:type="dcterms:W3CDTF">2018-01-30T02:54:00Z</dcterms:created>
  <dcterms:modified xsi:type="dcterms:W3CDTF">2025-12-17T07:05:00Z</dcterms:modified>
  <cp:category/>
</cp:coreProperties>
</file>