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D4" w:rsidRDefault="00FB4D72">
      <w:pPr>
        <w:autoSpaceDE w:val="0"/>
        <w:autoSpaceDN w:val="0"/>
        <w:ind w:firstLineChars="299" w:firstLine="636"/>
        <w:jc w:val="left"/>
        <w:rPr>
          <w:rFonts w:ascii="ＭＳ 明朝" w:hAnsi="ＭＳ 明朝" w:hint="eastAsia"/>
        </w:rPr>
      </w:pPr>
      <w:bookmarkStart w:id="0" w:name="_GoBack"/>
      <w:bookmarkEnd w:id="0"/>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4739640</wp:posOffset>
                </wp:positionH>
                <wp:positionV relativeFrom="paragraph">
                  <wp:posOffset>-756285</wp:posOffset>
                </wp:positionV>
                <wp:extent cx="800100" cy="4286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28625"/>
                        </a:xfrm>
                        <a:prstGeom prst="rect">
                          <a:avLst/>
                        </a:prstGeom>
                        <a:solidFill>
                          <a:srgbClr val="FFFFFF"/>
                        </a:solidFill>
                        <a:ln w="9525">
                          <a:solidFill>
                            <a:srgbClr val="000000"/>
                          </a:solidFill>
                          <a:miter lim="800000"/>
                          <a:headEnd/>
                          <a:tailEnd/>
                        </a:ln>
                      </wps:spPr>
                      <wps:txbx>
                        <w:txbxContent>
                          <w:p w:rsidR="00EB5152" w:rsidRPr="00964AA8" w:rsidRDefault="00EB5152" w:rsidP="00EB5152">
                            <w:pPr>
                              <w:snapToGrid w:val="0"/>
                              <w:spacing w:beforeLines="50" w:before="181" w:line="160" w:lineRule="atLeast"/>
                              <w:rPr>
                                <w:b/>
                                <w:sz w:val="32"/>
                                <w:szCs w:val="32"/>
                              </w:rPr>
                            </w:pPr>
                            <w:r w:rsidRPr="00964AA8">
                              <w:rPr>
                                <w:rFonts w:hint="eastAsia"/>
                                <w:b/>
                                <w:sz w:val="32"/>
                                <w:szCs w:val="32"/>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3.2pt;margin-top:-59.55pt;width:63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zyIAIAAEQEAAAOAAAAZHJzL2Uyb0RvYy54bWysU9uO0zAQfUfiHyy/06TRdmmjpqtVlyKk&#10;BVYsfIDjOImFb4zdJuXrGTvdbrmIB0QerJnM+PjMmZn1zagVOQjw0pqKzmc5JcJw20jTVfTL592r&#10;JSU+MNMwZY2o6FF4erN5+WI9uFIUtreqEUAQxPhycBXtQ3BllnneC838zDphMNha0CygC13WABsQ&#10;XausyPPrbLDQOLBceI9/76Yg3ST8thU8fGxbLwJRFUVuIZ2Qzjqe2WbNyg6Y6yU/0WD/wEIzafDR&#10;M9QdC4zsQf4GpSUH620bZtzqzLat5CLVgNXM81+qeeyZE6kWFMe7s0z+/8HyD4cHILLB3lFimMYW&#10;fULRmOmUIEWUZ3C+xKxH9wCxQO/uLf/qibHbHrPELYAdesEaJDWP+dlPF6Lj8Sqph/e2QXS2DzYp&#10;NbagIyBqQMbUkOO5IWIMhOPPZY6iYNs4hq6K5XWxSC+w8umyAx/eCqtJNCoKSD2Bs8O9D5EMK59S&#10;EnmrZLOTSiUHunqrgBwYzsYufSd0f5mmDBkqulrg23+HyNP3JwgtAw65kjpVhGkxiZVRtTemSXZg&#10;Uk02UlbmJGNUbupAGOsRE6OctW2OKCjYaZhx+dDoLXynZMBBrqj/tmcgKFHvDDbl9VWxWuDkJ2e5&#10;XKGccBmoLwLMcASqaKBkMrdh2pW9A9n1+M48iWDsLbaxlUniZ04n1jiqSfnTWsVduPRT1vPyb34A&#10;AAD//wMAUEsDBBQABgAIAAAAIQBc+eRH3wAAAAwBAAAPAAAAZHJzL2Rvd25yZXYueG1sTI/BTsMw&#10;DIbvSLxDZCRuW5qq60ppOgESR0AbiHPahLZa4lRN1nVvjzmxo39/+v252i3OstlMYfAoQawTYAZb&#10;rwfsJHx9vq4KYCEq1Mp6NBIuJsCuvr2pVKn9GfdmPsSOUQmGUknoYxxLzkPbG6fC2o8GaffjJ6ci&#10;jVPH9aTOVO4sT5Mk504NSBd6NZqX3rTHw8lJKD7SLrPePX+/b47xrbnMiHsu5f3d8vQILJol/sPw&#10;p0/qUJNT40+oA7MStlmeESphJcSDAEZIsU0paijaiBx4XfHrJ+pfAAAA//8DAFBLAQItABQABgAI&#10;AAAAIQC2gziS/gAAAOEBAAATAAAAAAAAAAAAAAAAAAAAAABbQ29udGVudF9UeXBlc10ueG1sUEsB&#10;Ai0AFAAGAAgAAAAhADj9If/WAAAAlAEAAAsAAAAAAAAAAAAAAAAALwEAAF9yZWxzLy5yZWxzUEsB&#10;Ai0AFAAGAAgAAAAhADPJHPIgAgAARAQAAA4AAAAAAAAAAAAAAAAALgIAAGRycy9lMm9Eb2MueG1s&#10;UEsBAi0AFAAGAAgAAAAhAFz55EffAAAADAEAAA8AAAAAAAAAAAAAAAAAegQAAGRycy9kb3ducmV2&#10;LnhtbFBLBQYAAAAABAAEAPMAAACGBQAAAAA=&#10;">
                <v:textbox inset="5.85pt,.7pt,5.85pt,.7pt">
                  <w:txbxContent>
                    <w:p w:rsidR="00EB5152" w:rsidRPr="00964AA8" w:rsidRDefault="00EB5152" w:rsidP="00EB5152">
                      <w:pPr>
                        <w:snapToGrid w:val="0"/>
                        <w:spacing w:beforeLines="50" w:before="181" w:line="160" w:lineRule="atLeast"/>
                        <w:rPr>
                          <w:b/>
                          <w:sz w:val="32"/>
                          <w:szCs w:val="32"/>
                        </w:rPr>
                      </w:pPr>
                      <w:r w:rsidRPr="00964AA8">
                        <w:rPr>
                          <w:rFonts w:hint="eastAsia"/>
                          <w:b/>
                          <w:sz w:val="32"/>
                          <w:szCs w:val="32"/>
                        </w:rPr>
                        <w:t>別紙２</w:t>
                      </w:r>
                    </w:p>
                  </w:txbxContent>
                </v:textbox>
              </v:rect>
            </w:pict>
          </mc:Fallback>
        </mc:AlternateContent>
      </w:r>
      <w:r w:rsidR="001727D4">
        <w:rPr>
          <w:rFonts w:ascii="ＭＳ 明朝" w:hAnsi="ＭＳ 明朝" w:hint="eastAsia"/>
        </w:rPr>
        <w:t>石巻健康センター条例</w:t>
      </w:r>
    </w:p>
    <w:p w:rsidR="001727D4" w:rsidRDefault="001727D4">
      <w:pPr>
        <w:autoSpaceDE w:val="0"/>
        <w:autoSpaceDN w:val="0"/>
        <w:ind w:firstLineChars="100" w:firstLine="213"/>
        <w:jc w:val="left"/>
        <w:outlineLvl w:val="0"/>
        <w:rPr>
          <w:rFonts w:ascii="ＭＳ 明朝" w:hAnsi="ＭＳ 明朝" w:cs="ＭＳ ゴシック" w:hint="eastAsia"/>
          <w:kern w:val="0"/>
        </w:rPr>
      </w:pPr>
      <w:r>
        <w:rPr>
          <w:rFonts w:ascii="ＭＳ 明朝" w:hAnsi="ＭＳ 明朝" w:cs="ＭＳ ゴシック" w:hint="eastAsia"/>
          <w:kern w:val="0"/>
        </w:rPr>
        <w:t>（設置）</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cs="ＭＳ ゴシック" w:hint="eastAsia"/>
          <w:kern w:val="0"/>
        </w:rPr>
        <w:t xml:space="preserve">第１条　</w:t>
      </w:r>
      <w:r>
        <w:rPr>
          <w:rFonts w:ascii="ＭＳ 明朝" w:hAnsi="ＭＳ 明朝" w:hint="eastAsia"/>
        </w:rPr>
        <w:t>市民の心身の健康づくり及び生きがいの醸成に資するため、石巻健康センター（以下「センター」という。）を石巻市立町一丁目７番３号に設置する。</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color w:val="0000FF"/>
        </w:rPr>
        <w:t xml:space="preserve">　</w:t>
      </w:r>
      <w:r>
        <w:rPr>
          <w:rFonts w:ascii="ＭＳ 明朝" w:hAnsi="ＭＳ 明朝" w:hint="eastAsia"/>
        </w:rPr>
        <w:t>（事業）</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第２条　センターは、前条に規定する目的を達成するため、次に掲げる事業を行う。</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 xml:space="preserve">　(1)　心身の健康を増進するための講座等の実施</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 xml:space="preserve">　(2)　芸術・文化に関する講座等の実施</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 xml:space="preserve">　(3)　心身の健康増進及び芸術・文化に関する情報提供</w:t>
      </w:r>
    </w:p>
    <w:p w:rsidR="001727D4" w:rsidRDefault="001727D4">
      <w:pPr>
        <w:autoSpaceDE w:val="0"/>
        <w:autoSpaceDN w:val="0"/>
        <w:ind w:left="425" w:hangingChars="200" w:hanging="425"/>
        <w:jc w:val="left"/>
        <w:rPr>
          <w:rFonts w:ascii="ＭＳ 明朝" w:hAnsi="ＭＳ 明朝" w:hint="eastAsia"/>
        </w:rPr>
      </w:pPr>
      <w:r>
        <w:rPr>
          <w:rFonts w:ascii="ＭＳ 明朝" w:hAnsi="ＭＳ 明朝" w:hint="eastAsia"/>
        </w:rPr>
        <w:t xml:space="preserve">　(4)　前３号に掲げるもののほか、センターの設置目的を達成するために必要な事業</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 xml:space="preserve">　（指定管理者による管理）</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第３条　市長は、センターの管理を地方自治法（昭和２２年法律第６７号)第２４４条の２</w:t>
      </w:r>
      <w:r>
        <w:rPr>
          <w:rFonts w:ascii="ＭＳ 明朝" w:hAnsi="ＭＳ 明朝" w:hint="eastAsia"/>
          <w:spacing w:val="2"/>
        </w:rPr>
        <w:t>第３項の規定により、指定管理者（同項に規定する指定管理者をいう。以下同じ。）に</w:t>
      </w:r>
      <w:r>
        <w:rPr>
          <w:rFonts w:ascii="ＭＳ 明朝" w:hAnsi="ＭＳ 明朝" w:hint="eastAsia"/>
        </w:rPr>
        <w:t>行わせるものとする。</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２　前項の規定により、当該指定管理者が行う業務は、次のとおりとする。</w:t>
      </w:r>
    </w:p>
    <w:p w:rsidR="001727D4" w:rsidRDefault="001727D4">
      <w:pPr>
        <w:autoSpaceDE w:val="0"/>
        <w:autoSpaceDN w:val="0"/>
        <w:ind w:left="425" w:hangingChars="200" w:hanging="425"/>
        <w:jc w:val="left"/>
        <w:rPr>
          <w:rFonts w:ascii="ＭＳ 明朝" w:hAnsi="ＭＳ 明朝" w:hint="eastAsia"/>
        </w:rPr>
      </w:pPr>
      <w:r>
        <w:rPr>
          <w:rFonts w:ascii="ＭＳ 明朝" w:hAnsi="ＭＳ 明朝" w:hint="eastAsia"/>
        </w:rPr>
        <w:t xml:space="preserve">　(1)　前条に掲げる事業に関すること。</w:t>
      </w:r>
    </w:p>
    <w:p w:rsidR="001727D4" w:rsidRDefault="001727D4">
      <w:pPr>
        <w:autoSpaceDE w:val="0"/>
        <w:autoSpaceDN w:val="0"/>
        <w:jc w:val="left"/>
        <w:rPr>
          <w:rFonts w:ascii="ＭＳ 明朝" w:hAnsi="ＭＳ 明朝" w:hint="eastAsia"/>
        </w:rPr>
      </w:pPr>
      <w:r>
        <w:rPr>
          <w:rFonts w:ascii="ＭＳ 明朝" w:hAnsi="ＭＳ 明朝" w:hint="eastAsia"/>
        </w:rPr>
        <w:t xml:space="preserve">　(2)　センターの利用の許可等に関すること。</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 xml:space="preserve">　(3)　センターの建物、設備等の維持管理に関すること。</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 xml:space="preserve">　(4)　前３号に掲げるもののほか、市長が必要と認めること。</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color w:val="0000FF"/>
        </w:rPr>
        <w:t xml:space="preserve">　</w:t>
      </w:r>
      <w:r>
        <w:rPr>
          <w:rFonts w:ascii="ＭＳ 明朝" w:hAnsi="ＭＳ 明朝" w:hint="eastAsia"/>
        </w:rPr>
        <w:t>（自主事業）</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第４条　指定管理者は、センターの設置目的の範囲内で市長の承認を得て、自主事業を営むことができる。</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 xml:space="preserve">　（開館時間及び休館日）</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第５条　センターの開館時間は、１日当たり１０時間３０分以上とし、規則で定める。</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２　センターの休館日は、１年度当たり６０日以内とし、規則で定める。</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３　前２項の規定にかかわらず、指定管理者が必要があると認めるときは、市長の承認を得て、１日当たりの開館時間数及び１年度当たりの休館日数を変更することができる。</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color w:val="0000FF"/>
        </w:rPr>
        <w:t xml:space="preserve">　</w:t>
      </w:r>
      <w:r>
        <w:rPr>
          <w:rFonts w:ascii="ＭＳ 明朝" w:hAnsi="ＭＳ 明朝" w:hint="eastAsia"/>
        </w:rPr>
        <w:t>（利用許可）</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第６条　センターを利用しようとする者は、あらかじめ指定管理者の許可を受けなければならない。許可を受けた事項を変更しようとするときも同様とする。</w:t>
      </w:r>
    </w:p>
    <w:p w:rsidR="001727D4" w:rsidRDefault="001727D4">
      <w:pPr>
        <w:autoSpaceDE w:val="0"/>
        <w:autoSpaceDN w:val="0"/>
        <w:ind w:left="213" w:hangingChars="100" w:hanging="213"/>
        <w:jc w:val="left"/>
        <w:rPr>
          <w:rFonts w:ascii="ＭＳ 明朝" w:hAnsi="ＭＳ 明朝" w:hint="eastAsia"/>
          <w:color w:val="0000FF"/>
        </w:rPr>
      </w:pPr>
      <w:r>
        <w:rPr>
          <w:rFonts w:ascii="ＭＳ 明朝" w:hAnsi="ＭＳ 明朝" w:hint="eastAsia"/>
        </w:rPr>
        <w:t xml:space="preserve">２　指定管理者は、前項の許可をする場合において、必要があると認めるときは、その許可に条件を付することができる。　</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 xml:space="preserve">　（許可の制限）</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第７条　指定管理者は、前条第１項の許可を受けようとする者が、次の各号のいずれかに該当すると認めるときは、その利用を許可しないものとする。</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color w:val="0000FF"/>
        </w:rPr>
        <w:t xml:space="preserve">　</w:t>
      </w:r>
      <w:r>
        <w:rPr>
          <w:rFonts w:ascii="ＭＳ 明朝" w:hAnsi="ＭＳ 明朝" w:hint="eastAsia"/>
        </w:rPr>
        <w:t>(1)　公の秩序又は善良な風俗に反するおそれがあると認めるとき。</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 xml:space="preserve">　(2)　施設、設備等を損傷し、又は汚損するおそれがあると認めるとき。</w:t>
      </w:r>
    </w:p>
    <w:p w:rsidR="001727D4" w:rsidRDefault="001727D4">
      <w:pPr>
        <w:autoSpaceDE w:val="0"/>
        <w:autoSpaceDN w:val="0"/>
        <w:ind w:left="425" w:hangingChars="200" w:hanging="425"/>
        <w:jc w:val="left"/>
        <w:rPr>
          <w:rFonts w:ascii="ＭＳ 明朝" w:hAnsi="ＭＳ 明朝" w:hint="eastAsia"/>
          <w:color w:val="0000FF"/>
        </w:rPr>
      </w:pPr>
      <w:r>
        <w:rPr>
          <w:rFonts w:ascii="ＭＳ 明朝" w:hAnsi="ＭＳ 明朝" w:hint="eastAsia"/>
        </w:rPr>
        <w:lastRenderedPageBreak/>
        <w:t xml:space="preserve">　(3)　前２号に掲げる場合のほか、指定管理者がセンターを利用させることが不適当と認めるとき。</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color w:val="0000FF"/>
        </w:rPr>
        <w:t xml:space="preserve">　</w:t>
      </w:r>
      <w:r>
        <w:rPr>
          <w:rFonts w:ascii="ＭＳ 明朝" w:hAnsi="ＭＳ 明朝" w:hint="eastAsia"/>
        </w:rPr>
        <w:t>（許可の取消し等）</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第８条　指定管理者は、次の各号のいずれかに該当するときは、許可した事項を変更し、又は許可を取り消し、若しくは利用の中止を命じることができる。</w:t>
      </w:r>
    </w:p>
    <w:p w:rsidR="001727D4" w:rsidRDefault="001727D4">
      <w:pPr>
        <w:autoSpaceDE w:val="0"/>
        <w:autoSpaceDN w:val="0"/>
        <w:ind w:leftChars="100" w:left="426" w:hangingChars="100" w:hanging="213"/>
        <w:jc w:val="left"/>
        <w:rPr>
          <w:rFonts w:ascii="ＭＳ 明朝" w:hAnsi="ＭＳ 明朝" w:hint="eastAsia"/>
        </w:rPr>
      </w:pPr>
      <w:r>
        <w:rPr>
          <w:rFonts w:ascii="ＭＳ 明朝" w:hAnsi="ＭＳ 明朝" w:hint="eastAsia"/>
        </w:rPr>
        <w:t>(1)　第６条第１項の許可を受けた者（以下「利用者」という。）が許可を受けた利用の目的に違反したとき。</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 xml:space="preserve">　(2)　利用者がこの条例又は指定管理者の指示した事項に違反したとき。</w:t>
      </w:r>
    </w:p>
    <w:p w:rsidR="001727D4" w:rsidRDefault="001727D4">
      <w:pPr>
        <w:autoSpaceDE w:val="0"/>
        <w:autoSpaceDN w:val="0"/>
        <w:ind w:leftChars="100" w:left="426" w:hangingChars="100" w:hanging="213"/>
        <w:jc w:val="left"/>
        <w:rPr>
          <w:rFonts w:ascii="ＭＳ 明朝" w:hAnsi="ＭＳ 明朝" w:hint="eastAsia"/>
        </w:rPr>
      </w:pPr>
      <w:r>
        <w:rPr>
          <w:rFonts w:ascii="ＭＳ 明朝" w:hAnsi="ＭＳ 明朝" w:hint="eastAsia"/>
        </w:rPr>
        <w:t xml:space="preserve">(3)　</w:t>
      </w:r>
      <w:r>
        <w:rPr>
          <w:rFonts w:ascii="ＭＳ 明朝" w:hAnsi="ＭＳ 明朝" w:hint="eastAsia"/>
          <w:spacing w:val="2"/>
        </w:rPr>
        <w:t>利用者が許可の申請書に偽りの記載をし、又は不正な手段によって許可を受けた</w:t>
      </w:r>
      <w:r>
        <w:rPr>
          <w:rFonts w:ascii="ＭＳ 明朝" w:hAnsi="ＭＳ 明朝" w:hint="eastAsia"/>
        </w:rPr>
        <w:t>とき。</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 xml:space="preserve">　(4)　前３号に掲げる場合のほか、センターの管理運営上特に必要と認めるとき。</w:t>
      </w:r>
    </w:p>
    <w:p w:rsidR="001727D4" w:rsidRDefault="001727D4">
      <w:pPr>
        <w:autoSpaceDE w:val="0"/>
        <w:autoSpaceDN w:val="0"/>
        <w:ind w:left="213" w:hangingChars="100" w:hanging="213"/>
        <w:jc w:val="left"/>
        <w:rPr>
          <w:rFonts w:ascii="ＭＳ 明朝" w:hAnsi="ＭＳ 明朝" w:hint="eastAsia"/>
          <w:color w:val="0000FF"/>
        </w:rPr>
      </w:pPr>
      <w:r>
        <w:rPr>
          <w:rFonts w:ascii="ＭＳ 明朝" w:hAnsi="ＭＳ 明朝" w:hint="eastAsia"/>
        </w:rPr>
        <w:t>２　前項の規定により許可した事項を変更し、又は許可を取り消し、若しくは利用の中止を命じた場合において利用者に損害が生じても、市及び指定管理者はその責めを負わないものとする。</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 xml:space="preserve">　（利用料金)</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第９条　利用者は、その利用に係る料金（以下「利用料金」という。）を指定管理者に支払わなければならない。</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２　利用料金は、指定管理者の収入とする。</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３　利用料金は、別表に定める範囲内において、指定管理者が市長の承認を得て定めるものとする。</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４　利用料金は、前納とする。ただし、指定管理者が特別の事由があると認めるときは、この限りでない。</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 xml:space="preserve">　（利用料金の減免）</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第１０条　指定管理者は、必要があると認めるときは、利用料金を減額し、又は免除することができる。</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 xml:space="preserve">　（利用料金の不還付）</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第１１条　既に納付した利用料金は、還付しない。ただし、指定管理者が必要があると認めるときは、その全部又は一部を還付することができる。</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color w:val="0000FF"/>
        </w:rPr>
        <w:t xml:space="preserve">　</w:t>
      </w:r>
      <w:r>
        <w:rPr>
          <w:rFonts w:ascii="ＭＳ 明朝" w:hAnsi="ＭＳ 明朝" w:hint="eastAsia"/>
        </w:rPr>
        <w:t>（原状回復の義務）</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第１２条　利用者は、センターの利用を終了したとき、又は中止されたとき、若しくは利用許可を取り消されたときは、直ちに施設、設備等を原状に復して返還しなければならない。</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color w:val="0000FF"/>
        </w:rPr>
        <w:t xml:space="preserve">　</w:t>
      </w:r>
      <w:r>
        <w:rPr>
          <w:rFonts w:ascii="ＭＳ 明朝" w:hAnsi="ＭＳ 明朝" w:hint="eastAsia"/>
        </w:rPr>
        <w:t>（損害賠償の義務）</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第１３条　センターの施設、設備等を損傷し、汚損し、又は滅失した者は、その損害を賠償しなければならない。ただし、市長が特にやむを得ないと認めるときは、この限りでない。</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color w:val="0000FF"/>
        </w:rPr>
        <w:t xml:space="preserve">　</w:t>
      </w:r>
      <w:r>
        <w:rPr>
          <w:rFonts w:ascii="ＭＳ 明朝" w:hAnsi="ＭＳ 明朝" w:hint="eastAsia"/>
        </w:rPr>
        <w:t>（入館の制限）</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lastRenderedPageBreak/>
        <w:t>第１４条　指定管理者は、利用者が次の各号のいずれかに該当するときは、センターへの入館を拒否し、又は退館させることができる。</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 xml:space="preserve">　(1)　センター内の秩序を乱し、又は乱すおそれがあるとき。</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 xml:space="preserve">　(2)　センター内の施設、設備等を損傷又は汚損するおそれがあるとき。</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 xml:space="preserve">　(3)　他人に危害を及ぼし、又は及ぼすおそれがあるとき。</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 xml:space="preserve">　(4)　他人の迷惑となるおそれがある物品、動物の類を携帯しているとき。</w:t>
      </w:r>
    </w:p>
    <w:p w:rsidR="001727D4" w:rsidRDefault="001727D4">
      <w:pPr>
        <w:autoSpaceDE w:val="0"/>
        <w:autoSpaceDN w:val="0"/>
        <w:ind w:left="425" w:hangingChars="200" w:hanging="425"/>
        <w:jc w:val="left"/>
        <w:rPr>
          <w:rFonts w:ascii="ＭＳ 明朝" w:hAnsi="ＭＳ 明朝" w:hint="eastAsia"/>
          <w:highlight w:val="yellow"/>
        </w:rPr>
      </w:pPr>
      <w:r>
        <w:rPr>
          <w:rFonts w:ascii="ＭＳ 明朝" w:hAnsi="ＭＳ 明朝" w:hint="eastAsia"/>
        </w:rPr>
        <w:t xml:space="preserve">　(5)　飲酒によりセンターの利用ができない状態にあると認められるとき。</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 xml:space="preserve">　(6)　感染性疾患を有し、他人に感染するおそれがあると認められるとき。</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 xml:space="preserve">　(7)　前各号に掲げる場合のほか、管理運営上支障があると指定管理者が認めるとき。</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 xml:space="preserve">　（指定管理者の指定の取消し等に伴う使用料の徴収等）</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第１５条　石巻市公の施設の指定管理者の指定の手続等に関する条例（平成１７年石巻市条例第３２１号）第８条第１項の規定により、指定管理者の指定を取り消し、又は期間を定めて管理の業務の全部又は一部の停止を命じた場合で、市長がセンターの管理を臨時に行うときに限り、新たに指定管理者を指定し、又は当該停止の期間が終了するまでの間、市長は、利用に関する業務を行い、別表に定める額の範囲内において市長が定める使用料を徴収するものとする。</w:t>
      </w:r>
    </w:p>
    <w:p w:rsidR="001727D4" w:rsidRDefault="001727D4">
      <w:pPr>
        <w:autoSpaceDE w:val="0"/>
        <w:autoSpaceDN w:val="0"/>
        <w:ind w:left="213" w:hangingChars="100" w:hanging="213"/>
        <w:jc w:val="left"/>
        <w:rPr>
          <w:rFonts w:ascii="ＭＳ 明朝" w:hAnsi="ＭＳ 明朝" w:cs="ＭＳ ゴシック"/>
          <w:kern w:val="0"/>
        </w:rPr>
      </w:pPr>
      <w:r>
        <w:rPr>
          <w:rFonts w:ascii="ＭＳ 明朝" w:hAnsi="ＭＳ 明朝" w:hint="eastAsia"/>
        </w:rPr>
        <w:t>２　前項の場合にあっては、第６条から第８条まで、第９条第１項及び第４項、第１０条、第１１条並びに前条の規定を準用する。この場合において、第６条及び第７条中「指定管理者」とあるのは「市長」と、第８条第１項中「指定管理者」とあるのは「市長」と、同条第２項中「市及び指定管理者」とあるのは「市」と、第９条の見出しを「（使用料）」と、同条第１項中「</w:t>
      </w:r>
      <w:r>
        <w:rPr>
          <w:rFonts w:ascii="ＭＳ 明朝" w:hAnsi="ＭＳ 明朝" w:cs="ＭＳ ゴシック" w:hint="eastAsia"/>
          <w:kern w:val="0"/>
        </w:rPr>
        <w:t>料金(以下「利用料金」という。)を指定管理者」とあるのは「使用料を市長」と、同条第４項中「利用料金」とあるのは「使用料」と、「指定管理者」とあるのは「市長」と、第１０条の見出し中「利用料金」とあるのは「使用料」と、同条中「指定管理者」とあるのは「市長」と、「利用料金」とあるのは「使用料」と、第１１条の見出し中「利用料金」とあるのは「使用料」と、同条中「利用料金」とあるのは「使用料」と、「指定管理者」とあるのは「市長」と、前条中「指定管理者」とあるのは「市長」と読み替えるものとする。</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 xml:space="preserve">　（委任）</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第１６条　この条例の施行に関し必要な事項は、規則で定める。</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 xml:space="preserve">　　　附　則</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 xml:space="preserve">　（施行期日）</w:t>
      </w:r>
    </w:p>
    <w:p w:rsidR="001727D4" w:rsidRDefault="001727D4">
      <w:pPr>
        <w:autoSpaceDE w:val="0"/>
        <w:autoSpaceDN w:val="0"/>
        <w:ind w:left="213" w:hangingChars="100" w:hanging="213"/>
        <w:jc w:val="left"/>
        <w:outlineLvl w:val="0"/>
        <w:rPr>
          <w:rFonts w:ascii="ＭＳ 明朝" w:hAnsi="ＭＳ 明朝"/>
        </w:rPr>
      </w:pPr>
      <w:r>
        <w:rPr>
          <w:rFonts w:ascii="ＭＳ 明朝" w:hAnsi="ＭＳ 明朝" w:hint="eastAsia"/>
        </w:rPr>
        <w:t>１　この条例は、規則で定める日から施行する。</w:t>
      </w:r>
    </w:p>
    <w:p w:rsidR="001727D4" w:rsidRDefault="001727D4">
      <w:pPr>
        <w:autoSpaceDE w:val="0"/>
        <w:autoSpaceDN w:val="0"/>
        <w:ind w:left="213" w:hangingChars="100" w:hanging="213"/>
        <w:jc w:val="left"/>
        <w:rPr>
          <w:rFonts w:ascii="ＭＳ 明朝" w:hAnsi="ＭＳ 明朝" w:hint="eastAsia"/>
        </w:rPr>
      </w:pPr>
      <w:r>
        <w:rPr>
          <w:rFonts w:ascii="ＭＳ 明朝" w:hAnsi="ＭＳ 明朝" w:hint="eastAsia"/>
        </w:rPr>
        <w:t xml:space="preserve">　（準備行為）</w:t>
      </w:r>
    </w:p>
    <w:p w:rsidR="001727D4" w:rsidRDefault="001727D4">
      <w:pPr>
        <w:spacing w:line="240" w:lineRule="atLeast"/>
        <w:ind w:leftChars="-8" w:left="211" w:hangingChars="107" w:hanging="228"/>
        <w:outlineLvl w:val="0"/>
        <w:rPr>
          <w:rFonts w:ascii="ＭＳ 明朝" w:hAnsi="ＭＳ 明朝" w:hint="eastAsia"/>
        </w:rPr>
      </w:pPr>
      <w:r>
        <w:rPr>
          <w:rFonts w:ascii="ＭＳ 明朝" w:hAnsi="ＭＳ 明朝" w:hint="eastAsia"/>
        </w:rPr>
        <w:t>２　第３条の規定による指定管理者の指定の手続その他必要な準備行為は、この条例の施行の日前においても行うことができる。</w:t>
      </w:r>
    </w:p>
    <w:p w:rsidR="001727D4" w:rsidRDefault="001727D4">
      <w:pPr>
        <w:spacing w:line="240" w:lineRule="atLeast"/>
        <w:ind w:leftChars="-8" w:left="211" w:hangingChars="107" w:hanging="228"/>
        <w:outlineLvl w:val="0"/>
        <w:rPr>
          <w:rFonts w:ascii="ＭＳ 明朝" w:hAnsi="ＭＳ 明朝" w:hint="eastAsia"/>
        </w:rPr>
      </w:pPr>
    </w:p>
    <w:p w:rsidR="001727D4" w:rsidRDefault="001727D4">
      <w:pPr>
        <w:spacing w:line="240" w:lineRule="atLeast"/>
        <w:ind w:leftChars="-8" w:left="211" w:hangingChars="107" w:hanging="228"/>
        <w:outlineLvl w:val="0"/>
        <w:rPr>
          <w:rFonts w:ascii="ＭＳ 明朝" w:hAnsi="ＭＳ 明朝" w:hint="eastAsia"/>
        </w:rPr>
      </w:pPr>
    </w:p>
    <w:p w:rsidR="001727D4" w:rsidRDefault="001727D4">
      <w:pPr>
        <w:autoSpaceDE w:val="0"/>
        <w:autoSpaceDN w:val="0"/>
        <w:jc w:val="left"/>
        <w:rPr>
          <w:rFonts w:ascii="ＭＳ 明朝" w:hAnsi="ＭＳ 明朝" w:hint="eastAsia"/>
        </w:rPr>
      </w:pPr>
      <w:r>
        <w:rPr>
          <w:rFonts w:ascii="ＭＳ 明朝" w:hAnsi="ＭＳ 明朝" w:hint="eastAsia"/>
        </w:rPr>
        <w:lastRenderedPageBreak/>
        <w:t>別表（第９条関係）</w:t>
      </w:r>
    </w:p>
    <w:tbl>
      <w:tblPr>
        <w:tblW w:w="8307"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878"/>
        <w:gridCol w:w="1442"/>
        <w:gridCol w:w="1497"/>
        <w:gridCol w:w="1787"/>
      </w:tblGrid>
      <w:tr w:rsidR="001727D4" w:rsidRPr="00C45A42" w:rsidTr="00C45A42">
        <w:trPr>
          <w:trHeight w:val="288"/>
        </w:trPr>
        <w:tc>
          <w:tcPr>
            <w:tcW w:w="5023" w:type="dxa"/>
            <w:gridSpan w:val="3"/>
            <w:shd w:val="clear" w:color="auto" w:fill="auto"/>
          </w:tcPr>
          <w:p w:rsidR="001727D4" w:rsidRPr="00C45A42" w:rsidRDefault="001727D4" w:rsidP="00C45A42">
            <w:pPr>
              <w:jc w:val="center"/>
              <w:rPr>
                <w:rFonts w:hint="eastAsia"/>
                <w:szCs w:val="20"/>
              </w:rPr>
            </w:pPr>
            <w:r w:rsidRPr="00C45A42">
              <w:rPr>
                <w:rFonts w:hint="eastAsia"/>
                <w:szCs w:val="20"/>
              </w:rPr>
              <w:t>区分</w:t>
            </w:r>
          </w:p>
        </w:tc>
        <w:tc>
          <w:tcPr>
            <w:tcW w:w="1497" w:type="dxa"/>
            <w:shd w:val="clear" w:color="auto" w:fill="auto"/>
          </w:tcPr>
          <w:p w:rsidR="001727D4" w:rsidRPr="00C45A42" w:rsidRDefault="001727D4" w:rsidP="00C45A42">
            <w:pPr>
              <w:jc w:val="center"/>
              <w:rPr>
                <w:rFonts w:hint="eastAsia"/>
                <w:szCs w:val="20"/>
              </w:rPr>
            </w:pPr>
            <w:r w:rsidRPr="00C45A42">
              <w:rPr>
                <w:rFonts w:hint="eastAsia"/>
                <w:szCs w:val="20"/>
              </w:rPr>
              <w:t>単位等</w:t>
            </w:r>
          </w:p>
        </w:tc>
        <w:tc>
          <w:tcPr>
            <w:tcW w:w="1787" w:type="dxa"/>
            <w:shd w:val="clear" w:color="auto" w:fill="auto"/>
          </w:tcPr>
          <w:p w:rsidR="001727D4" w:rsidRPr="00C45A42" w:rsidRDefault="001727D4" w:rsidP="00C45A42">
            <w:pPr>
              <w:jc w:val="center"/>
              <w:rPr>
                <w:rFonts w:hint="eastAsia"/>
                <w:szCs w:val="20"/>
              </w:rPr>
            </w:pPr>
            <w:r w:rsidRPr="00C45A42">
              <w:rPr>
                <w:rFonts w:hint="eastAsia"/>
                <w:szCs w:val="20"/>
              </w:rPr>
              <w:t>金額</w:t>
            </w:r>
          </w:p>
        </w:tc>
      </w:tr>
      <w:tr w:rsidR="001727D4" w:rsidRPr="00C45A42" w:rsidTr="00C45A42">
        <w:trPr>
          <w:trHeight w:val="162"/>
        </w:trPr>
        <w:tc>
          <w:tcPr>
            <w:tcW w:w="1703" w:type="dxa"/>
            <w:vMerge w:val="restart"/>
            <w:tcBorders>
              <w:bottom w:val="nil"/>
            </w:tcBorders>
            <w:shd w:val="clear" w:color="auto" w:fill="auto"/>
            <w:vAlign w:val="center"/>
          </w:tcPr>
          <w:p w:rsidR="001727D4" w:rsidRPr="00C45A42" w:rsidRDefault="001727D4">
            <w:pPr>
              <w:rPr>
                <w:rFonts w:hint="eastAsia"/>
                <w:szCs w:val="20"/>
              </w:rPr>
            </w:pPr>
            <w:r w:rsidRPr="00C45A42">
              <w:rPr>
                <w:rFonts w:hint="eastAsia"/>
                <w:szCs w:val="20"/>
              </w:rPr>
              <w:t>講座利用</w:t>
            </w:r>
          </w:p>
        </w:tc>
        <w:tc>
          <w:tcPr>
            <w:tcW w:w="3320" w:type="dxa"/>
            <w:gridSpan w:val="2"/>
            <w:tcBorders>
              <w:bottom w:val="nil"/>
            </w:tcBorders>
            <w:shd w:val="clear" w:color="auto" w:fill="auto"/>
            <w:vAlign w:val="center"/>
          </w:tcPr>
          <w:p w:rsidR="001727D4" w:rsidRPr="00C45A42" w:rsidRDefault="001727D4">
            <w:pPr>
              <w:rPr>
                <w:rFonts w:hint="eastAsia"/>
                <w:szCs w:val="20"/>
              </w:rPr>
            </w:pPr>
            <w:r w:rsidRPr="00C45A42">
              <w:rPr>
                <w:rFonts w:hint="eastAsia"/>
                <w:szCs w:val="20"/>
              </w:rPr>
              <w:t>プール</w:t>
            </w:r>
          </w:p>
        </w:tc>
        <w:tc>
          <w:tcPr>
            <w:tcW w:w="1497" w:type="dxa"/>
            <w:tcBorders>
              <w:bottom w:val="nil"/>
            </w:tcBorders>
            <w:shd w:val="clear" w:color="auto" w:fill="auto"/>
            <w:vAlign w:val="center"/>
          </w:tcPr>
          <w:p w:rsidR="001727D4" w:rsidRPr="00C45A42" w:rsidRDefault="001727D4">
            <w:pPr>
              <w:rPr>
                <w:rFonts w:hint="eastAsia"/>
                <w:szCs w:val="20"/>
              </w:rPr>
            </w:pPr>
            <w:r w:rsidRPr="00C45A42">
              <w:rPr>
                <w:rFonts w:hint="eastAsia"/>
                <w:szCs w:val="20"/>
              </w:rPr>
              <w:t>１回</w:t>
            </w:r>
          </w:p>
        </w:tc>
        <w:tc>
          <w:tcPr>
            <w:tcW w:w="1787" w:type="dxa"/>
            <w:tcBorders>
              <w:bottom w:val="nil"/>
            </w:tcBorders>
            <w:shd w:val="clear" w:color="auto" w:fill="auto"/>
            <w:vAlign w:val="center"/>
          </w:tcPr>
          <w:p w:rsidR="001727D4" w:rsidRPr="00C45A42" w:rsidRDefault="001727D4" w:rsidP="00C45A42">
            <w:pPr>
              <w:jc w:val="right"/>
              <w:rPr>
                <w:rFonts w:hint="eastAsia"/>
                <w:szCs w:val="20"/>
              </w:rPr>
            </w:pPr>
            <w:r w:rsidRPr="00C45A42">
              <w:rPr>
                <w:rFonts w:hint="eastAsia"/>
                <w:szCs w:val="20"/>
              </w:rPr>
              <w:t>１，０５０円</w:t>
            </w:r>
          </w:p>
        </w:tc>
      </w:tr>
      <w:tr w:rsidR="001727D4" w:rsidRPr="00C45A42" w:rsidTr="00C45A42">
        <w:trPr>
          <w:trHeight w:val="150"/>
        </w:trPr>
        <w:tc>
          <w:tcPr>
            <w:tcW w:w="1703" w:type="dxa"/>
            <w:vMerge/>
            <w:tcBorders>
              <w:top w:val="nil"/>
              <w:bottom w:val="nil"/>
            </w:tcBorders>
            <w:shd w:val="clear" w:color="auto" w:fill="auto"/>
            <w:vAlign w:val="center"/>
          </w:tcPr>
          <w:p w:rsidR="001727D4" w:rsidRPr="00C45A42" w:rsidRDefault="001727D4">
            <w:pPr>
              <w:rPr>
                <w:rFonts w:hint="eastAsia"/>
                <w:szCs w:val="20"/>
              </w:rPr>
            </w:pPr>
          </w:p>
        </w:tc>
        <w:tc>
          <w:tcPr>
            <w:tcW w:w="3320" w:type="dxa"/>
            <w:gridSpan w:val="2"/>
            <w:tcBorders>
              <w:top w:val="single" w:sz="4" w:space="0" w:color="auto"/>
            </w:tcBorders>
            <w:shd w:val="clear" w:color="auto" w:fill="auto"/>
            <w:vAlign w:val="center"/>
          </w:tcPr>
          <w:p w:rsidR="001727D4" w:rsidRPr="00C45A42" w:rsidRDefault="001727D4">
            <w:pPr>
              <w:rPr>
                <w:rFonts w:hint="eastAsia"/>
                <w:szCs w:val="20"/>
              </w:rPr>
            </w:pPr>
            <w:r w:rsidRPr="00C45A42">
              <w:rPr>
                <w:rFonts w:hint="eastAsia"/>
                <w:szCs w:val="20"/>
              </w:rPr>
              <w:t>その他</w:t>
            </w:r>
          </w:p>
        </w:tc>
        <w:tc>
          <w:tcPr>
            <w:tcW w:w="1497" w:type="dxa"/>
            <w:shd w:val="clear" w:color="auto" w:fill="auto"/>
            <w:vAlign w:val="center"/>
          </w:tcPr>
          <w:p w:rsidR="001727D4" w:rsidRPr="00C45A42" w:rsidRDefault="001727D4">
            <w:pPr>
              <w:rPr>
                <w:szCs w:val="20"/>
              </w:rPr>
            </w:pPr>
            <w:r w:rsidRPr="00C45A42">
              <w:rPr>
                <w:rFonts w:hint="eastAsia"/>
                <w:szCs w:val="20"/>
              </w:rPr>
              <w:t>１回</w:t>
            </w:r>
          </w:p>
        </w:tc>
        <w:tc>
          <w:tcPr>
            <w:tcW w:w="1787" w:type="dxa"/>
            <w:shd w:val="clear" w:color="auto" w:fill="auto"/>
            <w:vAlign w:val="center"/>
          </w:tcPr>
          <w:p w:rsidR="001727D4" w:rsidRPr="00C45A42" w:rsidRDefault="001727D4" w:rsidP="00C45A42">
            <w:pPr>
              <w:jc w:val="right"/>
              <w:rPr>
                <w:rFonts w:hint="eastAsia"/>
                <w:szCs w:val="20"/>
              </w:rPr>
            </w:pPr>
            <w:r w:rsidRPr="00C45A42">
              <w:rPr>
                <w:rFonts w:hint="eastAsia"/>
                <w:szCs w:val="20"/>
              </w:rPr>
              <w:t>９５０円</w:t>
            </w:r>
          </w:p>
        </w:tc>
      </w:tr>
      <w:tr w:rsidR="001727D4" w:rsidRPr="00C45A42" w:rsidTr="00C45A42">
        <w:trPr>
          <w:trHeight w:val="70"/>
        </w:trPr>
        <w:tc>
          <w:tcPr>
            <w:tcW w:w="1703" w:type="dxa"/>
            <w:vMerge w:val="restart"/>
            <w:shd w:val="clear" w:color="auto" w:fill="auto"/>
            <w:vAlign w:val="center"/>
          </w:tcPr>
          <w:p w:rsidR="001727D4" w:rsidRPr="00C45A42" w:rsidRDefault="001727D4">
            <w:pPr>
              <w:rPr>
                <w:rFonts w:ascii="ＭＳ 明朝" w:hAnsi="ＭＳ 明朝" w:hint="eastAsia"/>
              </w:rPr>
            </w:pPr>
            <w:r w:rsidRPr="00C45A42">
              <w:rPr>
                <w:rFonts w:hint="eastAsia"/>
                <w:szCs w:val="20"/>
              </w:rPr>
              <w:t>フリータイム利用</w:t>
            </w:r>
          </w:p>
        </w:tc>
        <w:tc>
          <w:tcPr>
            <w:tcW w:w="1878" w:type="dxa"/>
            <w:vMerge w:val="restart"/>
            <w:shd w:val="clear" w:color="auto" w:fill="auto"/>
            <w:vAlign w:val="center"/>
          </w:tcPr>
          <w:p w:rsidR="001727D4" w:rsidRPr="00C45A42" w:rsidRDefault="001727D4">
            <w:pPr>
              <w:rPr>
                <w:rFonts w:hint="eastAsia"/>
                <w:szCs w:val="20"/>
              </w:rPr>
            </w:pPr>
            <w:r w:rsidRPr="00C45A42">
              <w:rPr>
                <w:rFonts w:hint="eastAsia"/>
                <w:szCs w:val="20"/>
              </w:rPr>
              <w:t>プール、トレーニングルーム</w:t>
            </w:r>
          </w:p>
        </w:tc>
        <w:tc>
          <w:tcPr>
            <w:tcW w:w="1442" w:type="dxa"/>
            <w:vMerge w:val="restart"/>
            <w:shd w:val="clear" w:color="auto" w:fill="auto"/>
            <w:vAlign w:val="center"/>
          </w:tcPr>
          <w:p w:rsidR="001727D4" w:rsidRPr="00C45A42" w:rsidRDefault="001727D4">
            <w:pPr>
              <w:rPr>
                <w:rFonts w:hint="eastAsia"/>
                <w:szCs w:val="20"/>
              </w:rPr>
            </w:pPr>
            <w:r w:rsidRPr="00C45A42">
              <w:rPr>
                <w:rFonts w:hint="eastAsia"/>
                <w:szCs w:val="20"/>
              </w:rPr>
              <w:t>一般</w:t>
            </w:r>
          </w:p>
        </w:tc>
        <w:tc>
          <w:tcPr>
            <w:tcW w:w="1497" w:type="dxa"/>
            <w:shd w:val="clear" w:color="auto" w:fill="auto"/>
            <w:vAlign w:val="center"/>
          </w:tcPr>
          <w:p w:rsidR="001727D4" w:rsidRPr="00C45A42" w:rsidRDefault="001727D4">
            <w:pPr>
              <w:rPr>
                <w:szCs w:val="20"/>
              </w:rPr>
            </w:pPr>
            <w:r w:rsidRPr="00C45A42">
              <w:rPr>
                <w:rFonts w:hint="eastAsia"/>
                <w:szCs w:val="20"/>
              </w:rPr>
              <w:t>１回</w:t>
            </w:r>
          </w:p>
        </w:tc>
        <w:tc>
          <w:tcPr>
            <w:tcW w:w="1787" w:type="dxa"/>
            <w:shd w:val="clear" w:color="auto" w:fill="auto"/>
            <w:vAlign w:val="center"/>
          </w:tcPr>
          <w:p w:rsidR="001727D4" w:rsidRPr="00C45A42" w:rsidRDefault="001727D4" w:rsidP="00C45A42">
            <w:pPr>
              <w:jc w:val="right"/>
              <w:rPr>
                <w:rFonts w:hint="eastAsia"/>
                <w:szCs w:val="20"/>
              </w:rPr>
            </w:pPr>
            <w:r w:rsidRPr="00C45A42">
              <w:rPr>
                <w:rFonts w:hint="eastAsia"/>
                <w:szCs w:val="20"/>
              </w:rPr>
              <w:t>６００円</w:t>
            </w:r>
          </w:p>
        </w:tc>
      </w:tr>
      <w:tr w:rsidR="001727D4" w:rsidRPr="00C45A42" w:rsidTr="00C45A42">
        <w:trPr>
          <w:trHeight w:val="289"/>
        </w:trPr>
        <w:tc>
          <w:tcPr>
            <w:tcW w:w="1703" w:type="dxa"/>
            <w:vMerge/>
            <w:shd w:val="clear" w:color="auto" w:fill="auto"/>
            <w:vAlign w:val="center"/>
          </w:tcPr>
          <w:p w:rsidR="001727D4" w:rsidRPr="00C45A42" w:rsidRDefault="001727D4" w:rsidP="00C45A42">
            <w:pPr>
              <w:autoSpaceDE w:val="0"/>
              <w:autoSpaceDN w:val="0"/>
              <w:jc w:val="left"/>
              <w:rPr>
                <w:rFonts w:ascii="ＭＳ 明朝" w:hAnsi="ＭＳ 明朝" w:hint="eastAsia"/>
              </w:rPr>
            </w:pPr>
          </w:p>
        </w:tc>
        <w:tc>
          <w:tcPr>
            <w:tcW w:w="1878" w:type="dxa"/>
            <w:vMerge/>
            <w:shd w:val="clear" w:color="auto" w:fill="auto"/>
            <w:vAlign w:val="center"/>
          </w:tcPr>
          <w:p w:rsidR="001727D4" w:rsidRPr="00C45A42" w:rsidRDefault="001727D4">
            <w:pPr>
              <w:rPr>
                <w:rFonts w:hint="eastAsia"/>
                <w:szCs w:val="20"/>
              </w:rPr>
            </w:pPr>
          </w:p>
        </w:tc>
        <w:tc>
          <w:tcPr>
            <w:tcW w:w="1442" w:type="dxa"/>
            <w:vMerge/>
            <w:shd w:val="clear" w:color="auto" w:fill="auto"/>
            <w:vAlign w:val="center"/>
          </w:tcPr>
          <w:p w:rsidR="001727D4" w:rsidRPr="00C45A42" w:rsidRDefault="001727D4">
            <w:pPr>
              <w:rPr>
                <w:rFonts w:hint="eastAsia"/>
                <w:szCs w:val="20"/>
              </w:rPr>
            </w:pPr>
          </w:p>
        </w:tc>
        <w:tc>
          <w:tcPr>
            <w:tcW w:w="1497" w:type="dxa"/>
            <w:shd w:val="clear" w:color="auto" w:fill="auto"/>
            <w:vAlign w:val="center"/>
          </w:tcPr>
          <w:p w:rsidR="001727D4" w:rsidRPr="00C45A42" w:rsidRDefault="001727D4">
            <w:pPr>
              <w:rPr>
                <w:rFonts w:hint="eastAsia"/>
                <w:szCs w:val="20"/>
              </w:rPr>
            </w:pPr>
            <w:r w:rsidRPr="00C45A42">
              <w:rPr>
                <w:rFonts w:hint="eastAsia"/>
                <w:szCs w:val="20"/>
              </w:rPr>
              <w:t>回数券</w:t>
            </w:r>
          </w:p>
          <w:p w:rsidR="001727D4" w:rsidRPr="00C45A42" w:rsidRDefault="001727D4">
            <w:pPr>
              <w:rPr>
                <w:rFonts w:hint="eastAsia"/>
                <w:szCs w:val="20"/>
              </w:rPr>
            </w:pPr>
            <w:r w:rsidRPr="00C45A42">
              <w:rPr>
                <w:rFonts w:hint="eastAsia"/>
                <w:szCs w:val="20"/>
              </w:rPr>
              <w:t>（１１回分）</w:t>
            </w:r>
          </w:p>
        </w:tc>
        <w:tc>
          <w:tcPr>
            <w:tcW w:w="1787" w:type="dxa"/>
            <w:shd w:val="clear" w:color="auto" w:fill="auto"/>
            <w:vAlign w:val="center"/>
          </w:tcPr>
          <w:p w:rsidR="001727D4" w:rsidRPr="00C45A42" w:rsidRDefault="001727D4" w:rsidP="00C45A42">
            <w:pPr>
              <w:jc w:val="right"/>
              <w:rPr>
                <w:rFonts w:hint="eastAsia"/>
                <w:szCs w:val="20"/>
              </w:rPr>
            </w:pPr>
            <w:r w:rsidRPr="00C45A42">
              <w:rPr>
                <w:rFonts w:hint="eastAsia"/>
                <w:szCs w:val="20"/>
              </w:rPr>
              <w:t>６，０００円</w:t>
            </w:r>
          </w:p>
        </w:tc>
      </w:tr>
      <w:tr w:rsidR="001727D4" w:rsidRPr="00C45A42" w:rsidTr="00C45A42">
        <w:trPr>
          <w:trHeight w:val="118"/>
        </w:trPr>
        <w:tc>
          <w:tcPr>
            <w:tcW w:w="1703" w:type="dxa"/>
            <w:vMerge/>
            <w:shd w:val="clear" w:color="auto" w:fill="auto"/>
            <w:vAlign w:val="center"/>
          </w:tcPr>
          <w:p w:rsidR="001727D4" w:rsidRPr="00C45A42" w:rsidRDefault="001727D4" w:rsidP="00C45A42">
            <w:pPr>
              <w:autoSpaceDE w:val="0"/>
              <w:autoSpaceDN w:val="0"/>
              <w:jc w:val="left"/>
              <w:rPr>
                <w:rFonts w:ascii="ＭＳ 明朝" w:hAnsi="ＭＳ 明朝" w:hint="eastAsia"/>
              </w:rPr>
            </w:pPr>
          </w:p>
        </w:tc>
        <w:tc>
          <w:tcPr>
            <w:tcW w:w="1878" w:type="dxa"/>
            <w:vMerge/>
            <w:shd w:val="clear" w:color="auto" w:fill="auto"/>
            <w:vAlign w:val="center"/>
          </w:tcPr>
          <w:p w:rsidR="001727D4" w:rsidRPr="00C45A42" w:rsidRDefault="001727D4">
            <w:pPr>
              <w:rPr>
                <w:rFonts w:hint="eastAsia"/>
                <w:szCs w:val="20"/>
              </w:rPr>
            </w:pPr>
          </w:p>
        </w:tc>
        <w:tc>
          <w:tcPr>
            <w:tcW w:w="1442" w:type="dxa"/>
            <w:vMerge w:val="restart"/>
            <w:shd w:val="clear" w:color="auto" w:fill="auto"/>
            <w:vAlign w:val="center"/>
          </w:tcPr>
          <w:p w:rsidR="001727D4" w:rsidRPr="00C45A42" w:rsidRDefault="001727D4">
            <w:pPr>
              <w:rPr>
                <w:rFonts w:hint="eastAsia"/>
                <w:szCs w:val="20"/>
              </w:rPr>
            </w:pPr>
            <w:r w:rsidRPr="00C45A42">
              <w:rPr>
                <w:rFonts w:hint="eastAsia"/>
                <w:szCs w:val="20"/>
              </w:rPr>
              <w:t>受講生</w:t>
            </w:r>
          </w:p>
        </w:tc>
        <w:tc>
          <w:tcPr>
            <w:tcW w:w="1497" w:type="dxa"/>
            <w:shd w:val="clear" w:color="auto" w:fill="auto"/>
            <w:vAlign w:val="center"/>
          </w:tcPr>
          <w:p w:rsidR="001727D4" w:rsidRPr="00C45A42" w:rsidRDefault="001727D4">
            <w:pPr>
              <w:rPr>
                <w:szCs w:val="20"/>
              </w:rPr>
            </w:pPr>
            <w:r w:rsidRPr="00C45A42">
              <w:rPr>
                <w:rFonts w:hint="eastAsia"/>
                <w:szCs w:val="20"/>
              </w:rPr>
              <w:t>１回</w:t>
            </w:r>
          </w:p>
        </w:tc>
        <w:tc>
          <w:tcPr>
            <w:tcW w:w="1787" w:type="dxa"/>
            <w:shd w:val="clear" w:color="auto" w:fill="auto"/>
            <w:vAlign w:val="center"/>
          </w:tcPr>
          <w:p w:rsidR="001727D4" w:rsidRPr="00C45A42" w:rsidRDefault="001727D4" w:rsidP="00C45A42">
            <w:pPr>
              <w:jc w:val="right"/>
              <w:rPr>
                <w:rFonts w:hint="eastAsia"/>
                <w:szCs w:val="20"/>
              </w:rPr>
            </w:pPr>
            <w:r w:rsidRPr="00C45A42">
              <w:rPr>
                <w:rFonts w:hint="eastAsia"/>
                <w:szCs w:val="20"/>
              </w:rPr>
              <w:t>５００円</w:t>
            </w:r>
          </w:p>
        </w:tc>
      </w:tr>
      <w:tr w:rsidR="001727D4" w:rsidRPr="00C45A42" w:rsidTr="00C45A42">
        <w:trPr>
          <w:trHeight w:val="445"/>
        </w:trPr>
        <w:tc>
          <w:tcPr>
            <w:tcW w:w="1703" w:type="dxa"/>
            <w:vMerge/>
            <w:shd w:val="clear" w:color="auto" w:fill="auto"/>
            <w:vAlign w:val="center"/>
          </w:tcPr>
          <w:p w:rsidR="001727D4" w:rsidRPr="00C45A42" w:rsidRDefault="001727D4" w:rsidP="00C45A42">
            <w:pPr>
              <w:autoSpaceDE w:val="0"/>
              <w:autoSpaceDN w:val="0"/>
              <w:jc w:val="left"/>
              <w:rPr>
                <w:rFonts w:ascii="ＭＳ 明朝" w:hAnsi="ＭＳ 明朝" w:hint="eastAsia"/>
              </w:rPr>
            </w:pPr>
          </w:p>
        </w:tc>
        <w:tc>
          <w:tcPr>
            <w:tcW w:w="1878" w:type="dxa"/>
            <w:vMerge/>
            <w:shd w:val="clear" w:color="auto" w:fill="auto"/>
            <w:vAlign w:val="center"/>
          </w:tcPr>
          <w:p w:rsidR="001727D4" w:rsidRPr="00C45A42" w:rsidRDefault="001727D4">
            <w:pPr>
              <w:rPr>
                <w:rFonts w:hint="eastAsia"/>
                <w:szCs w:val="20"/>
              </w:rPr>
            </w:pPr>
          </w:p>
        </w:tc>
        <w:tc>
          <w:tcPr>
            <w:tcW w:w="1442" w:type="dxa"/>
            <w:vMerge/>
            <w:shd w:val="clear" w:color="auto" w:fill="auto"/>
            <w:vAlign w:val="center"/>
          </w:tcPr>
          <w:p w:rsidR="001727D4" w:rsidRPr="00C45A42" w:rsidRDefault="001727D4">
            <w:pPr>
              <w:rPr>
                <w:rFonts w:hint="eastAsia"/>
                <w:szCs w:val="20"/>
              </w:rPr>
            </w:pPr>
          </w:p>
        </w:tc>
        <w:tc>
          <w:tcPr>
            <w:tcW w:w="1497" w:type="dxa"/>
            <w:shd w:val="clear" w:color="auto" w:fill="auto"/>
            <w:vAlign w:val="center"/>
          </w:tcPr>
          <w:p w:rsidR="001727D4" w:rsidRPr="00C45A42" w:rsidRDefault="001727D4">
            <w:pPr>
              <w:rPr>
                <w:rFonts w:hint="eastAsia"/>
                <w:szCs w:val="20"/>
              </w:rPr>
            </w:pPr>
            <w:r w:rsidRPr="00C45A42">
              <w:rPr>
                <w:rFonts w:hint="eastAsia"/>
                <w:szCs w:val="20"/>
              </w:rPr>
              <w:t>回数券</w:t>
            </w:r>
          </w:p>
          <w:p w:rsidR="001727D4" w:rsidRPr="00C45A42" w:rsidRDefault="001727D4">
            <w:pPr>
              <w:rPr>
                <w:rFonts w:hint="eastAsia"/>
                <w:szCs w:val="20"/>
              </w:rPr>
            </w:pPr>
            <w:r w:rsidRPr="00C45A42">
              <w:rPr>
                <w:rFonts w:hint="eastAsia"/>
                <w:szCs w:val="20"/>
              </w:rPr>
              <w:t>（１１回分）</w:t>
            </w:r>
          </w:p>
        </w:tc>
        <w:tc>
          <w:tcPr>
            <w:tcW w:w="1787" w:type="dxa"/>
            <w:shd w:val="clear" w:color="auto" w:fill="auto"/>
            <w:vAlign w:val="center"/>
          </w:tcPr>
          <w:p w:rsidR="001727D4" w:rsidRPr="00C45A42" w:rsidRDefault="001727D4" w:rsidP="00C45A42">
            <w:pPr>
              <w:jc w:val="right"/>
              <w:rPr>
                <w:rFonts w:hint="eastAsia"/>
                <w:szCs w:val="20"/>
              </w:rPr>
            </w:pPr>
            <w:r w:rsidRPr="00C45A42">
              <w:rPr>
                <w:rFonts w:hint="eastAsia"/>
                <w:szCs w:val="20"/>
              </w:rPr>
              <w:t>５，０００円</w:t>
            </w:r>
          </w:p>
        </w:tc>
      </w:tr>
      <w:tr w:rsidR="001727D4" w:rsidRPr="00C45A42" w:rsidTr="00C45A42">
        <w:trPr>
          <w:trHeight w:val="98"/>
        </w:trPr>
        <w:tc>
          <w:tcPr>
            <w:tcW w:w="1703" w:type="dxa"/>
            <w:vMerge/>
            <w:shd w:val="clear" w:color="auto" w:fill="auto"/>
            <w:vAlign w:val="center"/>
          </w:tcPr>
          <w:p w:rsidR="001727D4" w:rsidRPr="00C45A42" w:rsidRDefault="001727D4" w:rsidP="00C45A42">
            <w:pPr>
              <w:autoSpaceDE w:val="0"/>
              <w:autoSpaceDN w:val="0"/>
              <w:jc w:val="left"/>
              <w:rPr>
                <w:rFonts w:ascii="ＭＳ 明朝" w:hAnsi="ＭＳ 明朝" w:hint="eastAsia"/>
              </w:rPr>
            </w:pPr>
          </w:p>
        </w:tc>
        <w:tc>
          <w:tcPr>
            <w:tcW w:w="1878" w:type="dxa"/>
            <w:vMerge/>
            <w:shd w:val="clear" w:color="auto" w:fill="auto"/>
            <w:vAlign w:val="center"/>
          </w:tcPr>
          <w:p w:rsidR="001727D4" w:rsidRPr="00C45A42" w:rsidRDefault="001727D4">
            <w:pPr>
              <w:rPr>
                <w:rFonts w:hint="eastAsia"/>
                <w:szCs w:val="20"/>
              </w:rPr>
            </w:pPr>
          </w:p>
        </w:tc>
        <w:tc>
          <w:tcPr>
            <w:tcW w:w="1442" w:type="dxa"/>
            <w:shd w:val="clear" w:color="auto" w:fill="auto"/>
            <w:vAlign w:val="center"/>
          </w:tcPr>
          <w:p w:rsidR="001727D4" w:rsidRPr="00C45A42" w:rsidRDefault="001727D4">
            <w:pPr>
              <w:rPr>
                <w:rFonts w:hint="eastAsia"/>
                <w:szCs w:val="20"/>
              </w:rPr>
            </w:pPr>
            <w:r w:rsidRPr="00C45A42">
              <w:rPr>
                <w:rFonts w:hint="eastAsia"/>
                <w:szCs w:val="20"/>
              </w:rPr>
              <w:t>学生</w:t>
            </w:r>
          </w:p>
        </w:tc>
        <w:tc>
          <w:tcPr>
            <w:tcW w:w="1497" w:type="dxa"/>
            <w:shd w:val="clear" w:color="auto" w:fill="auto"/>
            <w:vAlign w:val="center"/>
          </w:tcPr>
          <w:p w:rsidR="001727D4" w:rsidRPr="00C45A42" w:rsidRDefault="001727D4">
            <w:pPr>
              <w:rPr>
                <w:szCs w:val="20"/>
              </w:rPr>
            </w:pPr>
            <w:r w:rsidRPr="00C45A42">
              <w:rPr>
                <w:rFonts w:hint="eastAsia"/>
                <w:szCs w:val="20"/>
              </w:rPr>
              <w:t>１回</w:t>
            </w:r>
          </w:p>
        </w:tc>
        <w:tc>
          <w:tcPr>
            <w:tcW w:w="1787" w:type="dxa"/>
            <w:shd w:val="clear" w:color="auto" w:fill="auto"/>
            <w:vAlign w:val="center"/>
          </w:tcPr>
          <w:p w:rsidR="001727D4" w:rsidRPr="00C45A42" w:rsidRDefault="001727D4" w:rsidP="00C45A42">
            <w:pPr>
              <w:jc w:val="right"/>
              <w:rPr>
                <w:rFonts w:hint="eastAsia"/>
                <w:szCs w:val="20"/>
              </w:rPr>
            </w:pPr>
            <w:r w:rsidRPr="00C45A42">
              <w:rPr>
                <w:rFonts w:hint="eastAsia"/>
                <w:szCs w:val="20"/>
              </w:rPr>
              <w:t>３００円</w:t>
            </w:r>
          </w:p>
        </w:tc>
      </w:tr>
      <w:tr w:rsidR="001727D4" w:rsidRPr="00C45A42" w:rsidTr="00C45A42">
        <w:trPr>
          <w:trHeight w:val="1071"/>
        </w:trPr>
        <w:tc>
          <w:tcPr>
            <w:tcW w:w="1703" w:type="dxa"/>
            <w:vMerge w:val="restart"/>
            <w:shd w:val="clear" w:color="auto" w:fill="auto"/>
            <w:vAlign w:val="center"/>
          </w:tcPr>
          <w:p w:rsidR="001727D4" w:rsidRPr="00C45A42" w:rsidRDefault="001727D4">
            <w:pPr>
              <w:rPr>
                <w:rFonts w:hint="eastAsia"/>
                <w:szCs w:val="20"/>
              </w:rPr>
            </w:pPr>
            <w:r w:rsidRPr="00C45A42">
              <w:rPr>
                <w:rFonts w:hint="eastAsia"/>
                <w:szCs w:val="20"/>
              </w:rPr>
              <w:t>貸室利用</w:t>
            </w:r>
          </w:p>
          <w:p w:rsidR="001727D4" w:rsidRPr="00C45A42" w:rsidRDefault="001727D4">
            <w:pPr>
              <w:rPr>
                <w:rFonts w:ascii="ＭＳ 明朝" w:hAnsi="ＭＳ 明朝" w:hint="eastAsia"/>
              </w:rPr>
            </w:pPr>
            <w:r w:rsidRPr="00C45A42">
              <w:rPr>
                <w:rFonts w:hint="eastAsia"/>
                <w:szCs w:val="20"/>
              </w:rPr>
              <w:t>（講座利用のない場合に限る。）</w:t>
            </w:r>
          </w:p>
        </w:tc>
        <w:tc>
          <w:tcPr>
            <w:tcW w:w="3320" w:type="dxa"/>
            <w:gridSpan w:val="2"/>
            <w:tcBorders>
              <w:bottom w:val="single" w:sz="4" w:space="0" w:color="auto"/>
            </w:tcBorders>
            <w:shd w:val="clear" w:color="auto" w:fill="auto"/>
            <w:vAlign w:val="center"/>
          </w:tcPr>
          <w:p w:rsidR="001727D4" w:rsidRPr="00C45A42" w:rsidRDefault="001727D4">
            <w:pPr>
              <w:rPr>
                <w:rFonts w:hint="eastAsia"/>
                <w:szCs w:val="20"/>
              </w:rPr>
            </w:pPr>
            <w:r w:rsidRPr="00C45A42">
              <w:rPr>
                <w:rFonts w:hint="eastAsia"/>
                <w:szCs w:val="20"/>
              </w:rPr>
              <w:t>健康相談室、教養室１、教養室２、教養室３、和室</w:t>
            </w:r>
          </w:p>
        </w:tc>
        <w:tc>
          <w:tcPr>
            <w:tcW w:w="1497" w:type="dxa"/>
            <w:shd w:val="clear" w:color="auto" w:fill="auto"/>
            <w:vAlign w:val="center"/>
          </w:tcPr>
          <w:p w:rsidR="001727D4" w:rsidRPr="00C45A42" w:rsidRDefault="001727D4">
            <w:pPr>
              <w:rPr>
                <w:rFonts w:hint="eastAsia"/>
                <w:szCs w:val="20"/>
              </w:rPr>
            </w:pPr>
            <w:r w:rsidRPr="00C45A42">
              <w:rPr>
                <w:rFonts w:hint="eastAsia"/>
                <w:szCs w:val="20"/>
              </w:rPr>
              <w:t>１時間</w:t>
            </w:r>
          </w:p>
        </w:tc>
        <w:tc>
          <w:tcPr>
            <w:tcW w:w="1787" w:type="dxa"/>
            <w:tcBorders>
              <w:bottom w:val="single" w:sz="4" w:space="0" w:color="auto"/>
            </w:tcBorders>
            <w:shd w:val="clear" w:color="auto" w:fill="auto"/>
            <w:vAlign w:val="center"/>
          </w:tcPr>
          <w:p w:rsidR="001727D4" w:rsidRPr="00C45A42" w:rsidRDefault="001727D4" w:rsidP="00C45A42">
            <w:pPr>
              <w:jc w:val="right"/>
              <w:rPr>
                <w:rFonts w:hint="eastAsia"/>
                <w:szCs w:val="20"/>
              </w:rPr>
            </w:pPr>
            <w:r w:rsidRPr="00C45A42">
              <w:rPr>
                <w:rFonts w:hint="eastAsia"/>
                <w:szCs w:val="20"/>
              </w:rPr>
              <w:t>２，０００円</w:t>
            </w:r>
          </w:p>
        </w:tc>
      </w:tr>
      <w:tr w:rsidR="001727D4" w:rsidRPr="00C45A42" w:rsidTr="00C45A42">
        <w:trPr>
          <w:trHeight w:val="159"/>
        </w:trPr>
        <w:tc>
          <w:tcPr>
            <w:tcW w:w="1703" w:type="dxa"/>
            <w:vMerge/>
            <w:tcBorders>
              <w:bottom w:val="single" w:sz="4" w:space="0" w:color="auto"/>
            </w:tcBorders>
            <w:shd w:val="clear" w:color="auto" w:fill="auto"/>
            <w:vAlign w:val="center"/>
          </w:tcPr>
          <w:p w:rsidR="001727D4" w:rsidRPr="00C45A42" w:rsidRDefault="001727D4" w:rsidP="00C45A42">
            <w:pPr>
              <w:autoSpaceDE w:val="0"/>
              <w:autoSpaceDN w:val="0"/>
              <w:jc w:val="left"/>
              <w:rPr>
                <w:rFonts w:ascii="ＭＳ 明朝" w:hAnsi="ＭＳ 明朝" w:hint="eastAsia"/>
              </w:rPr>
            </w:pPr>
          </w:p>
        </w:tc>
        <w:tc>
          <w:tcPr>
            <w:tcW w:w="3320" w:type="dxa"/>
            <w:gridSpan w:val="2"/>
            <w:tcBorders>
              <w:bottom w:val="single" w:sz="4" w:space="0" w:color="auto"/>
            </w:tcBorders>
            <w:shd w:val="clear" w:color="auto" w:fill="auto"/>
            <w:vAlign w:val="center"/>
          </w:tcPr>
          <w:p w:rsidR="001727D4" w:rsidRPr="00C45A42" w:rsidRDefault="001727D4">
            <w:pPr>
              <w:rPr>
                <w:rFonts w:hint="eastAsia"/>
                <w:szCs w:val="20"/>
              </w:rPr>
            </w:pPr>
            <w:r w:rsidRPr="00C45A42">
              <w:rPr>
                <w:rFonts w:hint="eastAsia"/>
                <w:szCs w:val="20"/>
              </w:rPr>
              <w:t>多目的ホール</w:t>
            </w:r>
          </w:p>
        </w:tc>
        <w:tc>
          <w:tcPr>
            <w:tcW w:w="1497" w:type="dxa"/>
            <w:shd w:val="clear" w:color="auto" w:fill="auto"/>
            <w:vAlign w:val="center"/>
          </w:tcPr>
          <w:p w:rsidR="001727D4" w:rsidRPr="00C45A42" w:rsidRDefault="001727D4">
            <w:pPr>
              <w:rPr>
                <w:rFonts w:hint="eastAsia"/>
                <w:szCs w:val="20"/>
              </w:rPr>
            </w:pPr>
            <w:r w:rsidRPr="00C45A42">
              <w:rPr>
                <w:rFonts w:hint="eastAsia"/>
                <w:szCs w:val="20"/>
              </w:rPr>
              <w:t>１時間</w:t>
            </w:r>
          </w:p>
        </w:tc>
        <w:tc>
          <w:tcPr>
            <w:tcW w:w="1787" w:type="dxa"/>
            <w:tcBorders>
              <w:bottom w:val="single" w:sz="4" w:space="0" w:color="auto"/>
            </w:tcBorders>
            <w:shd w:val="clear" w:color="auto" w:fill="auto"/>
            <w:vAlign w:val="center"/>
          </w:tcPr>
          <w:p w:rsidR="001727D4" w:rsidRPr="00C45A42" w:rsidRDefault="001727D4" w:rsidP="00C45A42">
            <w:pPr>
              <w:jc w:val="right"/>
              <w:rPr>
                <w:rFonts w:hint="eastAsia"/>
                <w:szCs w:val="20"/>
              </w:rPr>
            </w:pPr>
            <w:r w:rsidRPr="00C45A42">
              <w:rPr>
                <w:rFonts w:hint="eastAsia"/>
                <w:szCs w:val="20"/>
              </w:rPr>
              <w:t>５，０００円</w:t>
            </w:r>
          </w:p>
        </w:tc>
      </w:tr>
      <w:tr w:rsidR="001727D4" w:rsidRPr="00C45A42" w:rsidTr="00C45A42">
        <w:trPr>
          <w:trHeight w:val="273"/>
        </w:trPr>
        <w:tc>
          <w:tcPr>
            <w:tcW w:w="1703" w:type="dxa"/>
            <w:shd w:val="clear" w:color="auto" w:fill="auto"/>
            <w:vAlign w:val="center"/>
          </w:tcPr>
          <w:p w:rsidR="001727D4" w:rsidRPr="00C45A42" w:rsidRDefault="001727D4">
            <w:pPr>
              <w:rPr>
                <w:rFonts w:hint="eastAsia"/>
                <w:szCs w:val="20"/>
              </w:rPr>
            </w:pPr>
            <w:r w:rsidRPr="00C45A42">
              <w:rPr>
                <w:rFonts w:hint="eastAsia"/>
                <w:szCs w:val="20"/>
              </w:rPr>
              <w:t>設備器具利用</w:t>
            </w:r>
          </w:p>
        </w:tc>
        <w:tc>
          <w:tcPr>
            <w:tcW w:w="3320" w:type="dxa"/>
            <w:gridSpan w:val="2"/>
            <w:tcBorders>
              <w:bottom w:val="single" w:sz="4" w:space="0" w:color="auto"/>
            </w:tcBorders>
            <w:shd w:val="clear" w:color="auto" w:fill="auto"/>
            <w:vAlign w:val="center"/>
          </w:tcPr>
          <w:p w:rsidR="001727D4" w:rsidRPr="00C45A42" w:rsidRDefault="001727D4">
            <w:pPr>
              <w:rPr>
                <w:rFonts w:hint="eastAsia"/>
                <w:szCs w:val="20"/>
              </w:rPr>
            </w:pPr>
            <w:r w:rsidRPr="00C45A42">
              <w:rPr>
                <w:rFonts w:hint="eastAsia"/>
                <w:szCs w:val="20"/>
              </w:rPr>
              <w:t>カラオケセット</w:t>
            </w:r>
          </w:p>
        </w:tc>
        <w:tc>
          <w:tcPr>
            <w:tcW w:w="1497" w:type="dxa"/>
            <w:shd w:val="clear" w:color="auto" w:fill="auto"/>
            <w:vAlign w:val="center"/>
          </w:tcPr>
          <w:p w:rsidR="001727D4" w:rsidRPr="00C45A42" w:rsidRDefault="001727D4">
            <w:pPr>
              <w:rPr>
                <w:rFonts w:hint="eastAsia"/>
                <w:szCs w:val="20"/>
              </w:rPr>
            </w:pPr>
            <w:r w:rsidRPr="00C45A42">
              <w:rPr>
                <w:rFonts w:hint="eastAsia"/>
                <w:szCs w:val="20"/>
              </w:rPr>
              <w:t>１回</w:t>
            </w:r>
          </w:p>
        </w:tc>
        <w:tc>
          <w:tcPr>
            <w:tcW w:w="1787" w:type="dxa"/>
            <w:shd w:val="clear" w:color="auto" w:fill="auto"/>
            <w:vAlign w:val="center"/>
          </w:tcPr>
          <w:p w:rsidR="001727D4" w:rsidRPr="00C45A42" w:rsidRDefault="001727D4" w:rsidP="00C45A42">
            <w:pPr>
              <w:jc w:val="right"/>
              <w:rPr>
                <w:rFonts w:hint="eastAsia"/>
                <w:szCs w:val="20"/>
              </w:rPr>
            </w:pPr>
            <w:r w:rsidRPr="00C45A42">
              <w:rPr>
                <w:rFonts w:hint="eastAsia"/>
                <w:szCs w:val="20"/>
              </w:rPr>
              <w:t>４，３００円</w:t>
            </w:r>
          </w:p>
        </w:tc>
      </w:tr>
    </w:tbl>
    <w:p w:rsidR="001727D4" w:rsidRDefault="001727D4">
      <w:pPr>
        <w:autoSpaceDE w:val="0"/>
        <w:autoSpaceDN w:val="0"/>
        <w:ind w:leftChars="100" w:left="213"/>
        <w:jc w:val="left"/>
        <w:rPr>
          <w:rFonts w:ascii="ＭＳ 明朝" w:hAnsi="ＭＳ 明朝" w:hint="eastAsia"/>
        </w:rPr>
      </w:pPr>
      <w:r>
        <w:rPr>
          <w:rFonts w:ascii="ＭＳ 明朝" w:hAnsi="ＭＳ 明朝" w:hint="eastAsia"/>
        </w:rPr>
        <w:t>備考</w:t>
      </w:r>
    </w:p>
    <w:p w:rsidR="001727D4" w:rsidRDefault="001727D4">
      <w:pPr>
        <w:spacing w:line="240" w:lineRule="atLeast"/>
        <w:ind w:leftChars="198" w:left="634" w:hangingChars="100" w:hanging="213"/>
        <w:rPr>
          <w:rFonts w:hint="eastAsia"/>
        </w:rPr>
      </w:pPr>
      <w:r>
        <w:rPr>
          <w:rFonts w:hint="eastAsia"/>
        </w:rPr>
        <w:t>１　フリータイム利用における１回の利用時間は、プールにあっては１時間３０分以内、トレーニングルームにあっては２時間以内とする。</w:t>
      </w:r>
    </w:p>
    <w:p w:rsidR="001727D4" w:rsidRDefault="001727D4">
      <w:pPr>
        <w:spacing w:line="240" w:lineRule="atLeast"/>
        <w:ind w:leftChars="98" w:left="208" w:firstLineChars="100" w:firstLine="213"/>
        <w:rPr>
          <w:rFonts w:hint="eastAsia"/>
        </w:rPr>
      </w:pPr>
      <w:r>
        <w:rPr>
          <w:rFonts w:hint="eastAsia"/>
        </w:rPr>
        <w:t>２　受講生とは、第２条に規定する講座を受講している者をいう。</w:t>
      </w:r>
    </w:p>
    <w:p w:rsidR="001727D4" w:rsidRDefault="001727D4">
      <w:pPr>
        <w:spacing w:line="240" w:lineRule="atLeast"/>
        <w:ind w:leftChars="198" w:left="634" w:hangingChars="100" w:hanging="213"/>
        <w:rPr>
          <w:rFonts w:hint="eastAsia"/>
        </w:rPr>
      </w:pPr>
      <w:r>
        <w:rPr>
          <w:rFonts w:hint="eastAsia"/>
        </w:rPr>
        <w:t>３　学生とは、中学生、高校生、大学生、専門学校生等で学生証を提示したものをいい、提示できない場合は、一般扱いとする。</w:t>
      </w:r>
    </w:p>
    <w:p w:rsidR="001727D4" w:rsidRDefault="001727D4">
      <w:pPr>
        <w:spacing w:line="240" w:lineRule="atLeast"/>
        <w:ind w:leftChars="198" w:left="634" w:hangingChars="100" w:hanging="213"/>
        <w:rPr>
          <w:rFonts w:hint="eastAsia"/>
        </w:rPr>
      </w:pPr>
      <w:r>
        <w:rPr>
          <w:rFonts w:hint="eastAsia"/>
        </w:rPr>
        <w:t>４　フリータイム利用におけるプールの利用及びトレーニングルームの利用は、中学生以上の者に限る。</w:t>
      </w:r>
    </w:p>
    <w:p w:rsidR="001727D4" w:rsidRDefault="001727D4">
      <w:pPr>
        <w:spacing w:line="240" w:lineRule="atLeast"/>
        <w:ind w:leftChars="200" w:left="638" w:hangingChars="100" w:hanging="213"/>
        <w:rPr>
          <w:rFonts w:hint="eastAsia"/>
        </w:rPr>
      </w:pPr>
      <w:r>
        <w:rPr>
          <w:rFonts w:hint="eastAsia"/>
        </w:rPr>
        <w:t>５　貸室利用及び設備器具利用において、営利を目的として利用する場合は、金額に当該金額の１５０パーセントに相当する額を</w:t>
      </w:r>
      <w:r>
        <w:rPr>
          <w:rFonts w:hint="eastAsia"/>
        </w:rPr>
        <w:t>加算した額とする。</w:t>
      </w:r>
    </w:p>
    <w:p w:rsidR="001727D4" w:rsidRDefault="001727D4">
      <w:pPr>
        <w:rPr>
          <w:rFonts w:hint="eastAsia"/>
        </w:rPr>
      </w:pPr>
    </w:p>
    <w:p w:rsidR="001727D4" w:rsidRDefault="001727D4">
      <w:pPr>
        <w:rPr>
          <w:rFonts w:hint="eastAsia"/>
        </w:rPr>
      </w:pPr>
    </w:p>
    <w:sectPr w:rsidR="001727D4">
      <w:footerReference w:type="default" r:id="rId6"/>
      <w:pgSz w:w="11907" w:h="16840" w:code="9"/>
      <w:pgMar w:top="1701" w:right="1701" w:bottom="1701" w:left="1701" w:header="851" w:footer="992" w:gutter="0"/>
      <w:cols w:space="720"/>
      <w:noEndnote/>
      <w:docGrid w:type="linesAndChars" w:linePitch="363"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A42" w:rsidRDefault="00C45A42">
      <w:r>
        <w:separator/>
      </w:r>
    </w:p>
  </w:endnote>
  <w:endnote w:type="continuationSeparator" w:id="0">
    <w:p w:rsidR="00C45A42" w:rsidRDefault="00C4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7D4" w:rsidRDefault="001727D4">
    <w:pPr>
      <w:pStyle w:val="a6"/>
      <w:rPr>
        <w:rFonts w:ascii="ＭＳ 明朝" w:hAnsi="ＭＳ 明朝"/>
      </w:rPr>
    </w:pPr>
    <w:r>
      <w:rPr>
        <w:rFonts w:ascii="Times New Roman" w:hAnsi="Times New Roman"/>
        <w:kern w:val="0"/>
      </w:rPr>
      <w:tab/>
    </w:r>
    <w:r>
      <w:rPr>
        <w:rFonts w:ascii="ＭＳ 明朝" w:hAnsi="ＭＳ 明朝"/>
        <w:kern w:val="0"/>
      </w:rPr>
      <w:t xml:space="preserve">- </w:t>
    </w:r>
    <w:r>
      <w:rPr>
        <w:rFonts w:ascii="ＭＳ 明朝" w:hAnsi="ＭＳ 明朝"/>
        <w:kern w:val="0"/>
      </w:rPr>
      <w:fldChar w:fldCharType="begin"/>
    </w:r>
    <w:r>
      <w:rPr>
        <w:rFonts w:ascii="ＭＳ 明朝" w:hAnsi="ＭＳ 明朝"/>
        <w:kern w:val="0"/>
      </w:rPr>
      <w:instrText xml:space="preserve"> PAGE </w:instrText>
    </w:r>
    <w:r>
      <w:rPr>
        <w:rFonts w:ascii="ＭＳ 明朝" w:hAnsi="ＭＳ 明朝"/>
        <w:kern w:val="0"/>
      </w:rPr>
      <w:fldChar w:fldCharType="separate"/>
    </w:r>
    <w:r w:rsidR="00FB4D72">
      <w:rPr>
        <w:rFonts w:ascii="ＭＳ 明朝" w:hAnsi="ＭＳ 明朝"/>
        <w:noProof/>
        <w:kern w:val="0"/>
      </w:rPr>
      <w:t>2</w:t>
    </w:r>
    <w:r>
      <w:rPr>
        <w:rFonts w:ascii="ＭＳ 明朝" w:hAnsi="ＭＳ 明朝"/>
        <w:kern w:val="0"/>
      </w:rPr>
      <w:fldChar w:fldCharType="end"/>
    </w:r>
    <w:r>
      <w:rPr>
        <w:rFonts w:ascii="ＭＳ 明朝" w:hAnsi="ＭＳ 明朝"/>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A42" w:rsidRDefault="00C45A42">
      <w:r>
        <w:separator/>
      </w:r>
    </w:p>
  </w:footnote>
  <w:footnote w:type="continuationSeparator" w:id="0">
    <w:p w:rsidR="00C45A42" w:rsidRDefault="00C45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6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68"/>
    <w:rsid w:val="00077E22"/>
    <w:rsid w:val="001727D4"/>
    <w:rsid w:val="004B37F4"/>
    <w:rsid w:val="00897ECC"/>
    <w:rsid w:val="008C1B08"/>
    <w:rsid w:val="00C45A42"/>
    <w:rsid w:val="00C95C68"/>
    <w:rsid w:val="00EB5152"/>
    <w:rsid w:val="00EF7268"/>
    <w:rsid w:val="00F03F08"/>
    <w:rsid w:val="00FB4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3F1476D0-FB03-464C-AE4D-33745710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cs="Arial"/>
      <w:sz w:val="18"/>
      <w:szCs w:val="18"/>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3023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石巻市職員の勤務時間、休暇等に関する条例新旧対照表</vt:lpstr>
      <vt:lpstr>石巻市職員の勤務時間、休暇等に関する条例新旧対照表</vt:lpstr>
    </vt:vector>
  </TitlesOfParts>
  <Company>石巻市</Company>
  <LinksUpToDate>false</LinksUpToDate>
  <CharactersWithSpaces>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石巻市職員の勤務時間、休暇等に関する条例新旧対照表</dc:title>
  <dc:subject/>
  <dc:creator>石巻市役所</dc:creator>
  <cp:keywords/>
  <dc:description/>
  <cp:lastModifiedBy>木村 有里 [Yuri Kimura]</cp:lastModifiedBy>
  <cp:revision>2</cp:revision>
  <cp:lastPrinted>2008-11-05T05:07:00Z</cp:lastPrinted>
  <dcterms:created xsi:type="dcterms:W3CDTF">2018-09-07T02:04:00Z</dcterms:created>
  <dcterms:modified xsi:type="dcterms:W3CDTF">2018-09-07T02:04:00Z</dcterms:modified>
</cp:coreProperties>
</file>